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ИНТЕР-СЕВЕР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0rplc-7"/>
          <w:rFonts w:ascii="Times New Roman" w:eastAsia="Times New Roman" w:hAnsi="Times New Roman" w:cs="Times New Roman"/>
        </w:rPr>
        <w:t>...</w:t>
      </w:r>
      <w:r>
        <w:rPr>
          <w:rStyle w:val="cat-PassportDatagrp-1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Style w:val="cat-FIOgrp-14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ИНТЕР-СЕВЕР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</w:t>
      </w:r>
      <w:r>
        <w:rPr>
          <w:rStyle w:val="cat-Addressgrp-4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Style w:val="cat-Addressgrp-2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мете и времени судебного заседания извещался посредством направления судебной повестки, которая возвращена отправителю с отметкой об истечении срока хранения.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ИНТЕР-СЕВЕР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05.09.2025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ИНТЕР-СЕВЕР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>от 05.09.2025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ИНТЕР-СЕВЕР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Велиева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8398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4rplc-10">
    <w:name w:val="cat-FIO grp-14 rplc-10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5rplc-36">
    <w:name w:val="cat-FIO grp-15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2FAB-3D5A-4566-9527-F97A9B0EDF0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